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2019300</wp:posOffset>
            </wp:positionH>
            <wp:positionV relativeFrom="paragraph">
              <wp:posOffset>-368300</wp:posOffset>
            </wp:positionV>
            <wp:extent cx="1682750" cy="1168400"/>
            <wp:effectExtent l="0" t="0" r="0" b="0"/>
            <wp:wrapNone/>
            <wp:docPr id="2" name="Picture 2" descr="Deskrizzjoni: Deskrizzjoni: Deskrizzjoni: C:\Documents and Settings\lenain\Local Settings\Temporary Internet Files\Content.Word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Ftehim ta’ liċenzja 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Isem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Indirizz: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għall-finijiet tal-iffirmar hawn taħt irrappreżentat mir-rappreżentant </w:t>
      </w:r>
      <w:proofErr w:type="spellStart"/>
      <w:r>
        <w:rPr>
          <w:rFonts w:ascii="Calibri" w:hAnsi="Calibri"/>
          <w:sz w:val="22"/>
          <w:szCs w:val="22"/>
          <w:highlight w:val="yellow"/>
        </w:rPr>
        <w:t>debitament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awtorizzat tiegħu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, [is-Sur/is-Sinjura] [Isem, Titolu/Funzjoni],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imsejjaħ "</w:t>
      </w:r>
      <w:r>
        <w:rPr>
          <w:rFonts w:ascii="Calibri" w:hAnsi="Calibri"/>
          <w:b/>
          <w:sz w:val="22"/>
          <w:szCs w:val="22"/>
        </w:rPr>
        <w:t>il-</w:t>
      </w:r>
      <w:proofErr w:type="spellStart"/>
      <w:r>
        <w:rPr>
          <w:rFonts w:ascii="Calibri" w:hAnsi="Calibri"/>
          <w:b/>
          <w:sz w:val="22"/>
          <w:szCs w:val="22"/>
        </w:rPr>
        <w:t>Konċedent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minn naħa, u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l-Unjoni Ewropea, rappreżentata mill-Kummissjoni Ewropea, li għandha s-sede tagħha f’200,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>, 1049 Brussell, il-Belġju (minn hawn ’il quddiem “</w:t>
      </w:r>
      <w:r>
        <w:rPr>
          <w:rFonts w:ascii="Calibri" w:hAnsi="Calibri"/>
          <w:b/>
          <w:sz w:val="22"/>
          <w:szCs w:val="22"/>
        </w:rPr>
        <w:t>id-</w:t>
      </w:r>
      <w:proofErr w:type="spellStart"/>
      <w:r>
        <w:rPr>
          <w:rFonts w:ascii="Calibri" w:hAnsi="Calibri"/>
          <w:b/>
          <w:sz w:val="22"/>
          <w:szCs w:val="22"/>
        </w:rPr>
        <w:t>Detentur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”),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min-naħa l-oħra,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imsejħin kollettivament “il-Partijiet”.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Billi 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huwa s-sid jew għandu d-drittijiet ġuridiċi meħtieġa biex jagħti din il-liċenzja għall-użu tal-opra deskritta hawn taħt (minn hawn ’il quddiem imsejħa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"l-Opra"), il-Partijiet ftehmu dan li ġej: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Titlu u deskrizzjoni qasira tat-Tpinġija/l-Illustrazzjoni/l-Istampa/i</w:t>
            </w:r>
            <w:r>
              <w:t xml:space="preserve"> 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Isem/ismijiet tal-awtur(i)/tal-fotografu/fotografi: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Sena/snin tal-ħolqien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liċenzja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mhijiex esklussiva, mingħajr drittijiet dovuti għall-użu ta’ proprjetà, trasferibbli, u li tista’ </w:t>
      </w:r>
      <w:proofErr w:type="spellStart"/>
      <w:r>
        <w:rPr>
          <w:rFonts w:ascii="Calibri" w:hAnsi="Calibri"/>
          <w:sz w:val="22"/>
          <w:szCs w:val="22"/>
        </w:rPr>
        <w:t>terġa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tingħadda</w:t>
      </w:r>
      <w:proofErr w:type="spellEnd"/>
      <w:r>
        <w:rPr>
          <w:rFonts w:ascii="Calibri" w:hAnsi="Calibri"/>
          <w:sz w:val="22"/>
          <w:szCs w:val="22"/>
        </w:rPr>
        <w:t xml:space="preserve"> lil 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ieħor, li </w:t>
      </w:r>
      <w:proofErr w:type="spellStart"/>
      <w:r>
        <w:rPr>
          <w:rFonts w:ascii="Calibri" w:hAnsi="Calibri"/>
          <w:sz w:val="22"/>
          <w:szCs w:val="22"/>
        </w:rPr>
        <w:t>tippermettilu</w:t>
      </w:r>
      <w:proofErr w:type="spellEnd"/>
      <w:r>
        <w:rPr>
          <w:rFonts w:ascii="Calibri" w:hAnsi="Calibri"/>
          <w:sz w:val="22"/>
          <w:szCs w:val="22"/>
        </w:rPr>
        <w:t xml:space="preserve"> juża l-Opra f’kwalunkwe post fid-dinja. </w:t>
      </w: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Id-dritt għall-użu tal-Opra jinkludi b’mod ewlieni d-drittijiet li wieħed: </w:t>
      </w:r>
      <w:proofErr w:type="spellStart"/>
      <w:r>
        <w:rPr>
          <w:rFonts w:ascii="Calibri" w:hAnsi="Calibri"/>
          <w:sz w:val="22"/>
          <w:szCs w:val="22"/>
        </w:rPr>
        <w:t>jirriproduċi</w:t>
      </w:r>
      <w:proofErr w:type="spellEnd"/>
      <w:r>
        <w:rPr>
          <w:rFonts w:ascii="Calibri" w:hAnsi="Calibri"/>
          <w:sz w:val="22"/>
          <w:szCs w:val="22"/>
        </w:rPr>
        <w:t xml:space="preserve">, jaħżen, iqassam, </w:t>
      </w:r>
      <w:proofErr w:type="spellStart"/>
      <w:r>
        <w:rPr>
          <w:rFonts w:ascii="Calibri" w:hAnsi="Calibri"/>
          <w:sz w:val="22"/>
          <w:szCs w:val="22"/>
        </w:rPr>
        <w:t>jimmodifika</w:t>
      </w:r>
      <w:proofErr w:type="spellEnd"/>
      <w:r>
        <w:rPr>
          <w:rFonts w:ascii="Calibri" w:hAnsi="Calibri"/>
          <w:sz w:val="22"/>
          <w:szCs w:val="22"/>
        </w:rPr>
        <w:t xml:space="preserve">, jippubblika, juri, ixerred, joħloq opri derivattivi, ixandar, jikkomunika lill-pubbliku, jew b’xi mod ieħor jippubblika, fi kwalunkwe format, </w:t>
      </w:r>
      <w:proofErr w:type="spellStart"/>
      <w:r>
        <w:rPr>
          <w:rFonts w:ascii="Calibri" w:hAnsi="Calibri"/>
          <w:sz w:val="22"/>
          <w:szCs w:val="22"/>
        </w:rPr>
        <w:t>medium</w:t>
      </w:r>
      <w:proofErr w:type="spellEnd"/>
      <w:r>
        <w:rPr>
          <w:rFonts w:ascii="Calibri" w:hAnsi="Calibri"/>
          <w:sz w:val="22"/>
          <w:szCs w:val="22"/>
        </w:rPr>
        <w:t xml:space="preserve"> u lingwa, anki fis-siti web tal-Unjoni Ewropea u fil-paġni uffiċjali tal-midja soċjali, jew f’siti web ta’ partijiet terzi u fuq it-televiżjoni. </w:t>
      </w:r>
      <w:r>
        <w:t xml:space="preserve"> </w:t>
      </w:r>
      <w:r>
        <w:br/>
      </w:r>
    </w:p>
    <w:p w:rsidR="00D13C98" w:rsidRPr="0036033D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Biex ma jkun hemm ebda dubju,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għandu l-permess li: iżid elementi ta’ ħoss jew elementi oħra ġodda (</w:t>
      </w:r>
      <w:proofErr w:type="spellStart"/>
      <w:r>
        <w:rPr>
          <w:rFonts w:ascii="Calibri" w:hAnsi="Calibri"/>
          <w:sz w:val="22"/>
          <w:szCs w:val="22"/>
        </w:rPr>
        <w:t>paragrafi</w:t>
      </w:r>
      <w:proofErr w:type="spellEnd"/>
      <w:r>
        <w:rPr>
          <w:rFonts w:ascii="Calibri" w:hAnsi="Calibri"/>
          <w:sz w:val="22"/>
          <w:szCs w:val="22"/>
        </w:rPr>
        <w:t xml:space="preserve">, titli, </w:t>
      </w:r>
      <w:proofErr w:type="spellStart"/>
      <w:r>
        <w:rPr>
          <w:rFonts w:ascii="Calibri" w:hAnsi="Calibri"/>
          <w:sz w:val="22"/>
          <w:szCs w:val="22"/>
        </w:rPr>
        <w:t>headers</w:t>
      </w:r>
      <w:proofErr w:type="spellEnd"/>
      <w:r>
        <w:rPr>
          <w:rFonts w:ascii="Calibri" w:hAnsi="Calibri"/>
          <w:sz w:val="22"/>
          <w:szCs w:val="22"/>
        </w:rPr>
        <w:t xml:space="preserve">, tipa grassa, </w:t>
      </w:r>
      <w:proofErr w:type="spellStart"/>
      <w:r>
        <w:rPr>
          <w:rFonts w:ascii="Calibri" w:hAnsi="Calibri"/>
          <w:sz w:val="22"/>
          <w:szCs w:val="22"/>
        </w:rPr>
        <w:t>didaskalija</w:t>
      </w:r>
      <w:proofErr w:type="spellEnd"/>
      <w:r>
        <w:rPr>
          <w:rFonts w:ascii="Calibri" w:hAnsi="Calibri"/>
          <w:sz w:val="22"/>
          <w:szCs w:val="22"/>
        </w:rPr>
        <w:t xml:space="preserve">, werrej, </w:t>
      </w:r>
      <w:proofErr w:type="spellStart"/>
      <w:r>
        <w:rPr>
          <w:rFonts w:ascii="Calibri" w:hAnsi="Calibri"/>
          <w:sz w:val="22"/>
          <w:szCs w:val="22"/>
        </w:rPr>
        <w:t>taqsira</w:t>
      </w:r>
      <w:proofErr w:type="spellEnd"/>
      <w:r>
        <w:rPr>
          <w:rFonts w:ascii="Calibri" w:hAnsi="Calibri"/>
          <w:sz w:val="22"/>
          <w:szCs w:val="22"/>
        </w:rPr>
        <w:t xml:space="preserve">, grafika, </w:t>
      </w:r>
      <w:proofErr w:type="spellStart"/>
      <w:r>
        <w:rPr>
          <w:rFonts w:ascii="Calibri" w:hAnsi="Calibri"/>
          <w:sz w:val="22"/>
          <w:szCs w:val="22"/>
        </w:rPr>
        <w:t>sottotitli</w:t>
      </w:r>
      <w:proofErr w:type="spellEnd"/>
      <w:r>
        <w:rPr>
          <w:rFonts w:ascii="Calibri" w:hAnsi="Calibri"/>
          <w:sz w:val="22"/>
          <w:szCs w:val="22"/>
        </w:rPr>
        <w:t xml:space="preserve"> bil-lingwi uffiċjali kollha tal-UE) fl-Opra, iħejji preżentazzjonijiet, animazzjonijiet, </w:t>
      </w:r>
      <w:proofErr w:type="spellStart"/>
      <w:r>
        <w:rPr>
          <w:rFonts w:ascii="Calibri" w:hAnsi="Calibri"/>
          <w:sz w:val="22"/>
          <w:szCs w:val="22"/>
        </w:rPr>
        <w:t>pittogrammi</w:t>
      </w:r>
      <w:proofErr w:type="spellEnd"/>
      <w:r>
        <w:rPr>
          <w:rFonts w:ascii="Calibri" w:hAnsi="Calibri"/>
          <w:sz w:val="22"/>
          <w:szCs w:val="22"/>
        </w:rPr>
        <w:t xml:space="preserve">, stejjer, </w:t>
      </w:r>
      <w:proofErr w:type="spellStart"/>
      <w:r>
        <w:rPr>
          <w:rFonts w:ascii="Calibri" w:hAnsi="Calibri"/>
          <w:sz w:val="22"/>
          <w:szCs w:val="22"/>
        </w:rPr>
        <w:t>slide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shows</w:t>
      </w:r>
      <w:proofErr w:type="spellEnd"/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jaqta</w:t>
      </w:r>
      <w:proofErr w:type="spellEnd"/>
      <w:r>
        <w:rPr>
          <w:rFonts w:ascii="Calibri" w:hAnsi="Calibri"/>
          <w:sz w:val="22"/>
          <w:szCs w:val="22"/>
        </w:rPr>
        <w:t xml:space="preserve">’ partijiet mill-Opra jew jaqsamha f’partijiet, u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l-Opra jew </w:t>
      </w:r>
      <w:proofErr w:type="spellStart"/>
      <w:r>
        <w:rPr>
          <w:rFonts w:ascii="Calibri" w:hAnsi="Calibri"/>
          <w:sz w:val="22"/>
          <w:szCs w:val="22"/>
        </w:rPr>
        <w:t>idaħħalha</w:t>
      </w:r>
      <w:proofErr w:type="spellEnd"/>
      <w:r>
        <w:rPr>
          <w:rFonts w:ascii="Calibri" w:hAnsi="Calibri"/>
          <w:sz w:val="22"/>
          <w:szCs w:val="22"/>
        </w:rPr>
        <w:t xml:space="preserve"> fil-bażijiet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>, anki f’dawk elettroniċi, tal-Kummissjoni Ewropea, li huma aċċessibbli għall-pubbliku mingħajr ħlas, u jista’ juża l-Opra għal kwalunkwe skop ieħor li jkun meħtieġ biex jintlaħqu l-iskopijiet tal-missjonijiet tal-Unjoni Ewropea.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qiegħed jingħata permess jawtorizza lill-impjegati u lill-kuntratturi tiegħu jeżerċitaw f’ismu d-drittijiet imsemmijin fuq mogħtija lilu mill-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tal-liċenzja. </w:t>
      </w:r>
    </w:p>
    <w:p w:rsidR="00D13C98" w:rsidRPr="00A543B4" w:rsidRDefault="00A632FC" w:rsidP="00A632FC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ins w:id="0" w:author="LIEGEOIS Xavier (COMM-EXT)" w:date="2020-09-14T15:42:00Z">
        <w:r w:rsidRPr="00A632FC">
          <w:rPr>
            <w:rFonts w:ascii="Calibri" w:hAnsi="Calibri"/>
            <w:sz w:val="22"/>
            <w:szCs w:val="22"/>
          </w:rPr>
          <w:t>Mhux applikabbli</w:t>
        </w:r>
      </w:ins>
      <w:bookmarkStart w:id="1" w:name="_GoBack"/>
      <w:bookmarkEnd w:id="1"/>
      <w:del w:id="2" w:author="LIEGEOIS Xavier (COMM-EXT)" w:date="2020-09-14T15:42:00Z">
        <w:r w:rsidR="00D13C98" w:rsidDel="00A632FC">
          <w:rPr>
            <w:rFonts w:ascii="Calibri" w:hAnsi="Calibri"/>
            <w:sz w:val="22"/>
            <w:szCs w:val="22"/>
          </w:rPr>
          <w:delText>Id-Detentur tal-liċenzja għandu l-permess jawtorizza li partijiet terzi jerġgħu jużaw l-Opra, b’konformità mad-Deċiżjoni tal-Kummissjoni tat-12 ta’ Diċembru 2011 dwar l-użu mill-ġdid ta’ dokumenti tal-Kummissjoni (2011/833/UE) u skont it-termini tal-Liċenzja Pubblika Internazzjonali</w:delText>
        </w:r>
        <w:r w:rsidR="00D13C98" w:rsidDel="00A632FC">
          <w:delText xml:space="preserve"> </w:delText>
        </w:r>
        <w:r w:rsidDel="00A632FC">
          <w:fldChar w:fldCharType="begin"/>
        </w:r>
        <w:r w:rsidDel="00A632FC">
          <w:delInstrText xml:space="preserve"> HYPERLINK "ht</w:delInstrText>
        </w:r>
        <w:r w:rsidDel="00A632FC">
          <w:delInstrText xml:space="preserve">tps://creativecommons.org/licenses/by/4.0/" </w:delInstrText>
        </w:r>
        <w:r w:rsidDel="00A632FC">
          <w:fldChar w:fldCharType="separate"/>
        </w:r>
        <w:r w:rsidR="00D13C98" w:rsidDel="00A632FC">
          <w:rPr>
            <w:rStyle w:val="Hyperlink"/>
            <w:rFonts w:ascii="Calibri" w:hAnsi="Calibri"/>
            <w:sz w:val="22"/>
            <w:szCs w:val="22"/>
          </w:rPr>
          <w:delText>Creative Commons Attribution 4.0 International Public License</w:delText>
        </w:r>
        <w:r w:rsidDel="00A632FC">
          <w:rPr>
            <w:rStyle w:val="Hyperlink"/>
            <w:rFonts w:ascii="Calibri" w:hAnsi="Calibri"/>
            <w:sz w:val="22"/>
            <w:szCs w:val="22"/>
          </w:rPr>
          <w:fldChar w:fldCharType="end"/>
        </w:r>
        <w:r w:rsidR="00D13C98" w:rsidDel="00A632FC">
          <w:rPr>
            <w:rFonts w:ascii="Calibri" w:hAnsi="Calibri"/>
            <w:sz w:val="22"/>
            <w:szCs w:val="22"/>
          </w:rPr>
          <w:delText xml:space="preserve"> (CC BY 4.0)</w:delText>
        </w:r>
      </w:del>
      <w:r w:rsidR="00D13C98"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Il-liċenzja tingħata tul il-ħajja tad-drittijiet tal-awtur, u fejn japplika, tul id-drittijiet relatati.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Id-drittijiet tal-awtur kollha, u kull dritt ta’ proprjetà intellettwali relatati mal-Opra jibqgħu proprjetà tal-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tal-liċenzja,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ma </w:t>
      </w:r>
      <w:proofErr w:type="spellStart"/>
      <w:r>
        <w:rPr>
          <w:rFonts w:ascii="Calibri" w:hAnsi="Calibri"/>
          <w:sz w:val="22"/>
          <w:szCs w:val="22"/>
        </w:rPr>
        <w:t>jakkwistax</w:t>
      </w:r>
      <w:proofErr w:type="spellEnd"/>
      <w:r>
        <w:rPr>
          <w:rFonts w:ascii="Calibri" w:hAnsi="Calibri"/>
          <w:sz w:val="22"/>
          <w:szCs w:val="22"/>
        </w:rPr>
        <w:t xml:space="preserve"> id-drittijiet ta’ </w:t>
      </w:r>
      <w:proofErr w:type="spellStart"/>
      <w:r>
        <w:rPr>
          <w:rFonts w:ascii="Calibri" w:hAnsi="Calibri"/>
          <w:sz w:val="22"/>
          <w:szCs w:val="22"/>
        </w:rPr>
        <w:t>proprjetarju</w:t>
      </w:r>
      <w:proofErr w:type="spellEnd"/>
      <w:r>
        <w:rPr>
          <w:rFonts w:ascii="Calibri" w:hAnsi="Calibri"/>
          <w:sz w:val="22"/>
          <w:szCs w:val="22"/>
        </w:rPr>
        <w:t xml:space="preserve"> tagħha.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jinkludu l-opri oriġinali maħluqa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jew il-kuntratturi tiegħu li jagħmlu użu mill-Opra. Mingħajr preġudizzju għal dan t’hawn fuq, 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għandhom ikunu proprjetà </w:t>
      </w:r>
      <w:proofErr w:type="spellStart"/>
      <w:r>
        <w:rPr>
          <w:rFonts w:ascii="Calibri" w:hAnsi="Calibri"/>
          <w:sz w:val="22"/>
          <w:szCs w:val="22"/>
        </w:rPr>
        <w:t>tad-Detentur</w:t>
      </w:r>
      <w:proofErr w:type="spellEnd"/>
      <w:r>
        <w:rPr>
          <w:rFonts w:ascii="Calibri" w:hAnsi="Calibri"/>
          <w:sz w:val="22"/>
          <w:szCs w:val="22"/>
        </w:rPr>
        <w:t xml:space="preserve"> tal-liċenzja.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L-eżerċizzju tad-drittijiet mogħtija hawn taħt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huwa suġġett għall-wiri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tal-avviż </w:t>
      </w:r>
      <w:proofErr w:type="spellStart"/>
      <w:r>
        <w:rPr>
          <w:rFonts w:ascii="Calibri" w:hAnsi="Calibri"/>
          <w:sz w:val="22"/>
          <w:szCs w:val="22"/>
        </w:rPr>
        <w:t>segwenti</w:t>
      </w:r>
      <w:proofErr w:type="spellEnd"/>
      <w:r>
        <w:rPr>
          <w:rFonts w:ascii="Calibri" w:hAnsi="Calibri"/>
          <w:sz w:val="22"/>
          <w:szCs w:val="22"/>
        </w:rPr>
        <w:t xml:space="preserve"> b’rikonoxximent </w:t>
      </w:r>
      <w:proofErr w:type="spellStart"/>
      <w:r>
        <w:rPr>
          <w:rFonts w:ascii="Calibri" w:hAnsi="Calibri"/>
          <w:sz w:val="22"/>
          <w:szCs w:val="22"/>
        </w:rPr>
        <w:t>debitu</w:t>
      </w:r>
      <w:proofErr w:type="spellEnd"/>
      <w:r>
        <w:rPr>
          <w:rFonts w:ascii="Calibri" w:hAnsi="Calibri"/>
          <w:sz w:val="22"/>
          <w:szCs w:val="22"/>
        </w:rPr>
        <w:t xml:space="preserve"> lill-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l-awtur tax-Xogħol: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[Avviż tad-dritt tal-awtur tal-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 - eżempju: © il-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tal-liċenzja, is-sena]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L-eżerċizzju tad-drittijiet mogħtija hawn taħt huwa suġġett għall-ħlas ta’ ammont totali ta’ EUR [ammont]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tal-liċenzja. Mal-ħlas ta’ dan l-ammont,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ma għandux jirrikjedi jew jitlob mingħand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għal </w:t>
      </w:r>
      <w:proofErr w:type="spellStart"/>
      <w:r>
        <w:rPr>
          <w:rFonts w:ascii="Calibri" w:hAnsi="Calibri"/>
          <w:sz w:val="22"/>
          <w:szCs w:val="22"/>
        </w:rPr>
        <w:t>rimborż</w:t>
      </w:r>
      <w:proofErr w:type="spellEnd"/>
      <w:r>
        <w:rPr>
          <w:rFonts w:ascii="Calibri" w:hAnsi="Calibri"/>
          <w:sz w:val="22"/>
          <w:szCs w:val="22"/>
        </w:rPr>
        <w:t xml:space="preserve"> jew kumpens ieħor marbut mal-Opra.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sabiex ikun intitolat li jagħti l-liċenzja għad-drittijiet imsemmija hawn fuq, u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mingħand id-</w:t>
      </w:r>
      <w:proofErr w:type="spellStart"/>
      <w:r>
        <w:rPr>
          <w:rFonts w:ascii="Calibri" w:hAnsi="Calibri"/>
          <w:sz w:val="22"/>
          <w:szCs w:val="22"/>
        </w:rPr>
        <w:t>detenturi</w:t>
      </w:r>
      <w:proofErr w:type="spellEnd"/>
      <w:r>
        <w:rPr>
          <w:rFonts w:ascii="Calibri" w:hAnsi="Calibri"/>
          <w:sz w:val="22"/>
          <w:szCs w:val="22"/>
        </w:rPr>
        <w:t xml:space="preserve"> tad-drittijiet tal-awtur, tad-drittijiet relatati u ta’ drittijiet oħra tal-proprjetà </w:t>
      </w:r>
      <w:proofErr w:type="spellStart"/>
      <w:r>
        <w:rPr>
          <w:rFonts w:ascii="Calibri" w:hAnsi="Calibri"/>
          <w:sz w:val="22"/>
          <w:szCs w:val="22"/>
        </w:rPr>
        <w:t>intelletwali</w:t>
      </w:r>
      <w:proofErr w:type="spellEnd"/>
      <w:r>
        <w:rPr>
          <w:rFonts w:ascii="Calibri" w:hAnsi="Calibri"/>
          <w:sz w:val="22"/>
          <w:szCs w:val="22"/>
        </w:rPr>
        <w:t xml:space="preserve"> b’rabta mal-Opra, kif ukoll, fejn japplika,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bil-miktub mingħand il-persuni li jidhru fir-ritratti.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l-użu tad-drittijiet tal-proprjetà intellettwali liċenzjati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b’dan il-ftehim ma jiksirx id-drittijiet ta’ ebda parti terza, u mhumiex se jiksru dawn id-drittijiet fil-futur. B’mod partikolari, iżda mhux limitat għal dan,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lastRenderedPageBreak/>
        <w:t>tal-liċenzja jiggarantixxi li l-Opra ma tiksirx id-drittijiet tal-awtur, id-drittijiet relatati jew id-drittijiet tal-immaġni ta’ xi parti terza.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jimpenja ruħu li jikkumpensa, jiddefendi u jissalvagwardja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minn u kontra kull pretensjoni, talba jew azzjoni kontra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tal-liċenzja, kif ukoll minn kull </w:t>
      </w:r>
      <w:proofErr w:type="spellStart"/>
      <w:r>
        <w:rPr>
          <w:rFonts w:ascii="Calibri" w:hAnsi="Calibri"/>
          <w:sz w:val="22"/>
          <w:szCs w:val="22"/>
        </w:rPr>
        <w:t>kost</w:t>
      </w:r>
      <w:proofErr w:type="spellEnd"/>
      <w:r>
        <w:rPr>
          <w:rFonts w:ascii="Calibri" w:hAnsi="Calibri"/>
          <w:sz w:val="22"/>
          <w:szCs w:val="22"/>
        </w:rPr>
        <w:t xml:space="preserve"> jew spiża, inklużi l-ispejjeż legali relatati ma’ sentenzi ġudizzjarji u proċedimenti dwar l-obbligazzjonijiet li jirriżultaw mill-eżerċizzju tad-drittijiet tal-proprjetà intellettwali liċenzjati skont dan il-Ftehim (jiġifieri f’każ li parti terza tressaq xi </w:t>
      </w:r>
      <w:proofErr w:type="spellStart"/>
      <w:r>
        <w:rPr>
          <w:rFonts w:ascii="Calibri" w:hAnsi="Calibri"/>
          <w:sz w:val="22"/>
          <w:szCs w:val="22"/>
        </w:rPr>
        <w:t>pretenzjonijiet</w:t>
      </w:r>
      <w:proofErr w:type="spellEnd"/>
      <w:r>
        <w:rPr>
          <w:rFonts w:ascii="Calibri" w:hAnsi="Calibri"/>
          <w:sz w:val="22"/>
          <w:szCs w:val="22"/>
        </w:rPr>
        <w:t xml:space="preserve"> kontra l-Kummissjoni Ewropea għall-użu tal-Opra).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B’dan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l-kunsens tiegħu għall-ipproċessar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safejn hu meħtieġ biex jintlaħqu l-għanijiet imsemmija hawn fuq.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tiġi pproċessata b’</w:t>
      </w:r>
      <w:proofErr w:type="spellStart"/>
      <w:r>
        <w:rPr>
          <w:rFonts w:ascii="Calibri" w:hAnsi="Calibri"/>
          <w:sz w:val="22"/>
          <w:szCs w:val="22"/>
        </w:rPr>
        <w:t>konformità</w:t>
      </w:r>
      <w:proofErr w:type="spellEnd"/>
      <w:r>
        <w:rPr>
          <w:rFonts w:ascii="Calibri" w:hAnsi="Calibri"/>
          <w:sz w:val="22"/>
          <w:szCs w:val="22"/>
        </w:rPr>
        <w:t xml:space="preserve"> mar-regoli stabbiliti mir-Regolament (UE) Nru 2018/1725.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. 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Billi huwa s-suġġett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għandu d-dritt li jaċċessa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tiegħu, ikun infurmat li se jsir ipproċessar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u safejn jasal dan l-ipproċessar, li jikkoreġi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 li ma tkunx korretta. Biex jeżerċita dawn id-drittijiet,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jikkuntattja</w:t>
      </w:r>
      <w:proofErr w:type="spellEnd"/>
      <w:r>
        <w:rPr>
          <w:rFonts w:ascii="Calibri" w:hAnsi="Calibri"/>
          <w:sz w:val="22"/>
          <w:szCs w:val="22"/>
        </w:rPr>
        <w:t xml:space="preserve"> lil: </w:t>
      </w:r>
      <w:r>
        <w:tab/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[daħħal id-dettalji tal-persuna rilevanti li lilha jistgħu jiġu indirizzati dawn il-mistoqsijiet].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L-eżerċizzju tad-drittijiet mogħtija hawn taħt għandu jiġi rregolat mid-dritt tal-Unjoni Ewropea u interpretat skont dan id-dritt, u fejn jeħtieġ id-dritt tal-Unjoni </w:t>
      </w:r>
      <w:proofErr w:type="spellStart"/>
      <w:r>
        <w:rPr>
          <w:rFonts w:ascii="Calibri" w:hAnsi="Calibri"/>
          <w:sz w:val="22"/>
          <w:szCs w:val="22"/>
        </w:rPr>
        <w:t>Eworpea</w:t>
      </w:r>
      <w:proofErr w:type="spellEnd"/>
      <w:r>
        <w:rPr>
          <w:rFonts w:ascii="Calibri" w:hAnsi="Calibri"/>
          <w:sz w:val="22"/>
          <w:szCs w:val="22"/>
        </w:rPr>
        <w:t xml:space="preserve"> jiġi </w:t>
      </w:r>
      <w:proofErr w:type="spellStart"/>
      <w:r>
        <w:rPr>
          <w:rFonts w:ascii="Calibri" w:hAnsi="Calibri"/>
          <w:sz w:val="22"/>
          <w:szCs w:val="22"/>
        </w:rPr>
        <w:t>kkomplementat</w:t>
      </w:r>
      <w:proofErr w:type="spellEnd"/>
      <w:r>
        <w:rPr>
          <w:rFonts w:ascii="Calibri" w:hAnsi="Calibri"/>
          <w:sz w:val="22"/>
          <w:szCs w:val="22"/>
        </w:rPr>
        <w:t xml:space="preserve"> mil-liġijiet sostantivi tal-Belġju. Jekk jinqala’ xi tilwim, jew </w:t>
      </w:r>
      <w:proofErr w:type="spellStart"/>
      <w:r>
        <w:rPr>
          <w:rFonts w:ascii="Calibri" w:hAnsi="Calibri"/>
          <w:sz w:val="22"/>
          <w:szCs w:val="22"/>
        </w:rPr>
        <w:t>tinqala</w:t>
      </w:r>
      <w:proofErr w:type="spellEnd"/>
      <w:r>
        <w:rPr>
          <w:rFonts w:ascii="Calibri" w:hAnsi="Calibri"/>
          <w:sz w:val="22"/>
          <w:szCs w:val="22"/>
        </w:rPr>
        <w:t xml:space="preserve">’ xi kontroversja jew </w:t>
      </w:r>
      <w:proofErr w:type="spellStart"/>
      <w:r>
        <w:rPr>
          <w:rFonts w:ascii="Calibri" w:hAnsi="Calibri"/>
          <w:sz w:val="22"/>
          <w:szCs w:val="22"/>
        </w:rPr>
        <w:t>pretenzjoni</w:t>
      </w:r>
      <w:proofErr w:type="spellEnd"/>
      <w:r>
        <w:rPr>
          <w:rFonts w:ascii="Calibri" w:hAnsi="Calibri"/>
          <w:sz w:val="22"/>
          <w:szCs w:val="22"/>
        </w:rPr>
        <w:t xml:space="preserve"> mis-suġġett jew b’rabta mas-suġġett ta’ dan il-ftehim bejn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ma jkunx jista’ </w:t>
      </w:r>
      <w:proofErr w:type="spellStart"/>
      <w:r>
        <w:rPr>
          <w:rFonts w:ascii="Calibri" w:hAnsi="Calibri"/>
          <w:sz w:val="22"/>
          <w:szCs w:val="22"/>
        </w:rPr>
        <w:t>jissolva</w:t>
      </w:r>
      <w:proofErr w:type="spellEnd"/>
      <w:r>
        <w:rPr>
          <w:rFonts w:ascii="Calibri" w:hAnsi="Calibri"/>
          <w:sz w:val="22"/>
          <w:szCs w:val="22"/>
        </w:rPr>
        <w:t xml:space="preserve"> b’mod amikevoli, il-każ għandu jitressaq quddiem il-qrati ta’ Brussell.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Għall-Konċedent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tal-liċenzja,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Post u Data: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Firma: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[is-Sinjur/is-Sinjura] [Isem]</w:t>
            </w: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[Kapaċità/Titolu, jekk applikabbli]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Isem l-</w:t>
      </w:r>
      <w:proofErr w:type="spellStart"/>
      <w:r>
        <w:rPr>
          <w:sz w:val="18"/>
          <w:szCs w:val="16"/>
        </w:rPr>
        <w:t>Entità</w:t>
      </w:r>
      <w:proofErr w:type="spellEnd"/>
      <w:r>
        <w:rPr>
          <w:sz w:val="18"/>
          <w:szCs w:val="16"/>
        </w:rPr>
        <w:t xml:space="preserve"> Ġuridika jew Isem u Kunjom il-persuna fiżika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Għall-entitajiet ġuridiċi biss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EGEOIS Xavier (COMM-EXT)">
    <w15:presenceInfo w15:providerId="None" w15:userId="LIEGEOIS Xavier (COMM-EX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6A7B21"/>
    <w:rsid w:val="00A632FC"/>
    <w:rsid w:val="00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t-M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815</Words>
  <Characters>6168</Characters>
  <Application>Microsoft Office Word</Application>
  <DocSecurity>0</DocSecurity>
  <Lines>114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3</cp:revision>
  <dcterms:created xsi:type="dcterms:W3CDTF">2020-07-29T15:20:00Z</dcterms:created>
  <dcterms:modified xsi:type="dcterms:W3CDTF">2020-09-14T13:42:00Z</dcterms:modified>
</cp:coreProperties>
</file>